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109B1" w14:textId="4380C61B" w:rsidR="00B822E7" w:rsidRPr="00B822E7" w:rsidRDefault="006B2DC2" w:rsidP="00B822E7">
      <w:pPr>
        <w:pBdr>
          <w:bottom w:val="single" w:sz="4" w:space="1" w:color="auto"/>
        </w:pBdr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14:ligatures w14:val="none"/>
        </w:rPr>
        <w:t>SUGGESTED REFERENCES</w:t>
      </w:r>
    </w:p>
    <w:p w14:paraId="7A18E41C" w14:textId="3AE28E56" w:rsidR="00B822E7" w:rsidRPr="00105219" w:rsidRDefault="00B822E7" w:rsidP="00B822E7">
      <w:pPr>
        <w:pBdr>
          <w:bottom w:val="single" w:sz="4" w:space="1" w:color="auto"/>
        </w:pBdr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14:ligatures w14:val="none"/>
        </w:rPr>
      </w:pPr>
      <w:r w:rsidRPr="00B822E7">
        <w:rPr>
          <w:rFonts w:ascii="Arial" w:eastAsia="Times New Roman" w:hAnsi="Arial" w:cs="Arial"/>
          <w:b/>
          <w:bCs/>
          <w:kern w:val="36"/>
          <w:sz w:val="36"/>
          <w:szCs w:val="36"/>
          <w14:ligatures w14:val="none"/>
        </w:rPr>
        <w:t>Navigating the Politics of Evidence</w:t>
      </w:r>
      <w:r w:rsidR="006B2DC2">
        <w:rPr>
          <w:rFonts w:ascii="Arial" w:eastAsia="Times New Roman" w:hAnsi="Arial" w:cs="Arial"/>
          <w:b/>
          <w:bCs/>
          <w:kern w:val="36"/>
          <w:sz w:val="36"/>
          <w:szCs w:val="36"/>
          <w14:ligatures w14:val="none"/>
        </w:rPr>
        <w:t xml:space="preserve"> – April 8</w:t>
      </w:r>
    </w:p>
    <w:p w14:paraId="2BEDA691" w14:textId="77777777" w:rsidR="00B822E7" w:rsidRPr="00105219" w:rsidRDefault="00B822E7" w:rsidP="00B822E7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val="fr-FR"/>
          <w14:ligatures w14:val="none"/>
        </w:rPr>
      </w:pPr>
      <w:r w:rsidRPr="00105219">
        <w:rPr>
          <w:rFonts w:ascii="Arial" w:eastAsia="Times New Roman" w:hAnsi="Arial" w:cs="Arial"/>
          <w:b/>
          <w:bCs/>
          <w:kern w:val="0"/>
          <w:sz w:val="27"/>
          <w:szCs w:val="27"/>
          <w:lang w:val="fr-FR"/>
          <w14:ligatures w14:val="none"/>
        </w:rPr>
        <w:t>Essential (Core Logic)</w:t>
      </w:r>
    </w:p>
    <w:p w14:paraId="571BC54B" w14:textId="77777777" w:rsidR="00B822E7" w:rsidRPr="00105219" w:rsidRDefault="00B822E7" w:rsidP="00B822E7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b/>
          <w:bCs/>
          <w:kern w:val="0"/>
          <w:lang w:val="de-DE"/>
          <w14:ligatures w14:val="none"/>
        </w:rPr>
        <w:t xml:space="preserve">Banerjee, A. V., &amp; Duflo, E. (2011). </w:t>
      </w:r>
      <w:r w:rsidRPr="00105219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Poor Economics</w:t>
      </w: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>. PublicAffairs.</w:t>
      </w:r>
    </w:p>
    <w:p w14:paraId="5F6CA60F" w14:textId="77777777" w:rsidR="00B822E7" w:rsidRPr="00105219" w:rsidRDefault="00B822E7" w:rsidP="00B822E7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Section: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Chapter 1 ("Think Again, </w:t>
      </w:r>
      <w:proofErr w:type="gramStart"/>
      <w:r w:rsidRPr="00105219">
        <w:rPr>
          <w:rFonts w:ascii="Arial" w:eastAsia="Times New Roman" w:hAnsi="Arial" w:cs="Arial"/>
          <w:kern w:val="0"/>
          <w14:ligatures w14:val="none"/>
        </w:rPr>
        <w:t>Again</w:t>
      </w:r>
      <w:proofErr w:type="gramEnd"/>
      <w:r w:rsidRPr="00105219">
        <w:rPr>
          <w:rFonts w:ascii="Arial" w:eastAsia="Times New Roman" w:hAnsi="Arial" w:cs="Arial"/>
          <w:kern w:val="0"/>
          <w14:ligatures w14:val="none"/>
        </w:rPr>
        <w:t>").</w:t>
      </w:r>
    </w:p>
    <w:p w14:paraId="662B8927" w14:textId="77777777" w:rsidR="00B822E7" w:rsidRPr="00105219" w:rsidRDefault="00B822E7" w:rsidP="00B822E7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Relevance: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Foundations of the RCT approach and the "Plumber" mindset.</w:t>
      </w:r>
    </w:p>
    <w:p w14:paraId="2F39991A" w14:textId="77777777" w:rsidR="00B822E7" w:rsidRPr="00105219" w:rsidRDefault="00B822E7" w:rsidP="00B822E7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 xml:space="preserve">Guerzovich, F., &amp; Aston, T. (2024). </w:t>
      </w:r>
      <w:r w:rsidRPr="00105219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Social Accountability 3.0</w:t>
      </w: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>.</w:t>
      </w:r>
    </w:p>
    <w:p w14:paraId="4FB33E8E" w14:textId="77777777" w:rsidR="00B822E7" w:rsidRPr="00105219" w:rsidRDefault="00B822E7" w:rsidP="00B822E7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Section: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Framework Analysis on "Systemic Responsiveness."</w:t>
      </w:r>
    </w:p>
    <w:p w14:paraId="2A73ABB3" w14:textId="77777777" w:rsidR="00B822E7" w:rsidRPr="00105219" w:rsidRDefault="00B822E7" w:rsidP="00B822E7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Relevance: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Defines "Learning for Steerage" and evidence as coalition glue.</w:t>
      </w:r>
    </w:p>
    <w:p w14:paraId="328EAAE6" w14:textId="77777777" w:rsidR="00B822E7" w:rsidRPr="00105219" w:rsidRDefault="00B822E7" w:rsidP="00B822E7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 xml:space="preserve">Parkhurst, J. (2017). </w:t>
      </w:r>
      <w:r w:rsidRPr="00105219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The Politics of Evidence</w:t>
      </w: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>. Routledge.</w:t>
      </w:r>
    </w:p>
    <w:p w14:paraId="263F0E3A" w14:textId="77777777" w:rsidR="00B822E7" w:rsidRPr="00105219" w:rsidRDefault="00B822E7" w:rsidP="00B822E7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Section: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Chapter 2 (The Political Nature of Evidence).</w:t>
      </w:r>
    </w:p>
    <w:p w14:paraId="5C118449" w14:textId="77777777" w:rsidR="00B822E7" w:rsidRPr="00105219" w:rsidRDefault="00B822E7" w:rsidP="00B822E7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Relevance: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Breaks down the generation, communication, and use of evidence.</w:t>
      </w:r>
    </w:p>
    <w:p w14:paraId="270CCDB8" w14:textId="77777777" w:rsidR="00B822E7" w:rsidRPr="00105219" w:rsidRDefault="00B822E7" w:rsidP="00B822E7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 xml:space="preserve">Meadows, D. (1999). </w:t>
      </w:r>
      <w:r w:rsidRPr="00105219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Leverage Points</w:t>
      </w: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>. The Sustainability Institute.</w:t>
      </w:r>
    </w:p>
    <w:p w14:paraId="313CE695" w14:textId="77777777" w:rsidR="00B822E7" w:rsidRPr="00105219" w:rsidRDefault="00B822E7" w:rsidP="00B822E7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Section: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Entire Essay.</w:t>
      </w:r>
    </w:p>
    <w:p w14:paraId="0866BAB3" w14:textId="77777777" w:rsidR="00B822E7" w:rsidRPr="00105219" w:rsidRDefault="00B822E7" w:rsidP="00B822E7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Relevance: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The 'Ladder' logic: why changing Paradigms is more powerful than changing Parameters.</w:t>
      </w:r>
    </w:p>
    <w:p w14:paraId="68150CF6" w14:textId="77777777" w:rsidR="00B822E7" w:rsidRPr="00105219" w:rsidRDefault="00B822E7" w:rsidP="00B822E7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 xml:space="preserve">Ramalingam, B. (2013). </w:t>
      </w:r>
      <w:r w:rsidRPr="00105219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Aid on the Edge of Chaos</w:t>
      </w: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>. Oxford.</w:t>
      </w:r>
    </w:p>
    <w:p w14:paraId="0A9F3274" w14:textId="77777777" w:rsidR="00B822E7" w:rsidRPr="00105219" w:rsidRDefault="00B822E7" w:rsidP="00B822E7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Section: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Chapter 4 (Complexity and Systems).</w:t>
      </w:r>
    </w:p>
    <w:p w14:paraId="185F5400" w14:textId="77777777" w:rsidR="00B822E7" w:rsidRPr="00105219" w:rsidRDefault="00B822E7" w:rsidP="00B822E7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Relevance: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Contrast between 'organized simplicity' and 'organized complexity'.</w:t>
      </w:r>
    </w:p>
    <w:p w14:paraId="1C263EE5" w14:textId="77777777" w:rsidR="00B822E7" w:rsidRPr="00105219" w:rsidRDefault="00B822E7" w:rsidP="00B822E7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 xml:space="preserve">World Bank. (2015). </w:t>
      </w:r>
      <w:r w:rsidRPr="00105219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World Development Report: Mind, Society, and Behavior</w:t>
      </w: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>.</w:t>
      </w:r>
    </w:p>
    <w:p w14:paraId="0247A831" w14:textId="77777777" w:rsidR="00B822E7" w:rsidRPr="00105219" w:rsidRDefault="00B822E7" w:rsidP="00B822E7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Section: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"Biases of development professionals."</w:t>
      </w:r>
    </w:p>
    <w:p w14:paraId="120C20D7" w14:textId="77777777" w:rsidR="00B822E7" w:rsidRPr="00105219" w:rsidRDefault="00B822E7" w:rsidP="00B822E7">
      <w:pPr>
        <w:numPr>
          <w:ilvl w:val="1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Relevance: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Essential grounding for the "Generation" stage of evidence.</w:t>
      </w:r>
    </w:p>
    <w:p w14:paraId="7654A50E" w14:textId="77777777" w:rsidR="00B822E7" w:rsidRPr="00105219" w:rsidRDefault="00B822E7" w:rsidP="00B822E7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105219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Helpful Dive-ins (Case &amp; Context)</w:t>
      </w:r>
    </w:p>
    <w:p w14:paraId="284D0FD6" w14:textId="77777777" w:rsidR="00B822E7" w:rsidRPr="00105219" w:rsidRDefault="00B822E7" w:rsidP="00B822E7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 xml:space="preserve">Honig, D. (2018). </w:t>
      </w:r>
      <w:r w:rsidRPr="00105219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Navigation by Judgment</w:t>
      </w: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>. Oxford.</w:t>
      </w:r>
    </w:p>
    <w:p w14:paraId="2F654110" w14:textId="77777777" w:rsidR="00B822E7" w:rsidRPr="00105219" w:rsidRDefault="00B822E7" w:rsidP="00B822E7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Relevance: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How top-down evidence-based compliance backfires in complex environments.</w:t>
      </w:r>
    </w:p>
    <w:p w14:paraId="5A7DBEC1" w14:textId="77777777" w:rsidR="00B822E7" w:rsidRPr="00105219" w:rsidRDefault="00B822E7" w:rsidP="00B822E7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 xml:space="preserve">Stroh, D. P. (2015). </w:t>
      </w:r>
      <w:r w:rsidRPr="00105219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Systems Thinking for Social Change</w:t>
      </w: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>. Chelsea Green.</w:t>
      </w:r>
    </w:p>
    <w:p w14:paraId="250BD7F1" w14:textId="77777777" w:rsidR="00B822E7" w:rsidRPr="00105219" w:rsidRDefault="00B822E7" w:rsidP="00B822E7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Relevance: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Explains "System Plots" (Accidental Adversaries) as diagnostic tools.</w:t>
      </w:r>
    </w:p>
    <w:p w14:paraId="52680C9F" w14:textId="77777777" w:rsidR="00B822E7" w:rsidRPr="00105219" w:rsidRDefault="00B822E7" w:rsidP="00B822E7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 xml:space="preserve">Orrell, D. (2007). </w:t>
      </w:r>
      <w:proofErr w:type="spellStart"/>
      <w:r w:rsidRPr="00105219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Economyths</w:t>
      </w:r>
      <w:proofErr w:type="spellEnd"/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>.</w:t>
      </w:r>
    </w:p>
    <w:p w14:paraId="7CB901F4" w14:textId="77777777" w:rsidR="00B822E7" w:rsidRPr="00105219" w:rsidRDefault="00B822E7" w:rsidP="00B822E7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Relevance: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Challenges mechanistic, law-like assumptions in social sciences.</w:t>
      </w:r>
    </w:p>
    <w:p w14:paraId="608CF7CF" w14:textId="77777777" w:rsidR="00B822E7" w:rsidRPr="00105219" w:rsidRDefault="00B822E7" w:rsidP="00B822E7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 xml:space="preserve">Ostrom, E. (2009). </w:t>
      </w:r>
      <w:r w:rsidRPr="00105219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A General Framework for Analyzing Sustainability of Social-Ecological Systems</w:t>
      </w: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>.</w:t>
      </w:r>
    </w:p>
    <w:p w14:paraId="1B0B97F1" w14:textId="77777777" w:rsidR="00B822E7" w:rsidRPr="00105219" w:rsidRDefault="00B822E7" w:rsidP="00B822E7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Relevance: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Focus on 'evolutionary policymaking' instead of panaceas.</w:t>
      </w:r>
    </w:p>
    <w:p w14:paraId="26D0C6ED" w14:textId="77777777" w:rsidR="00B822E7" w:rsidRPr="00105219" w:rsidRDefault="00B822E7" w:rsidP="00B822E7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 xml:space="preserve">3ie. </w:t>
      </w:r>
      <w:r w:rsidRPr="00105219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Evidence Gap-Maps</w:t>
      </w: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>. (Online Resource).</w:t>
      </w:r>
    </w:p>
    <w:p w14:paraId="326C4BCA" w14:textId="77777777" w:rsidR="00B822E7" w:rsidRPr="00105219" w:rsidRDefault="00B822E7" w:rsidP="00B822E7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lastRenderedPageBreak/>
        <w:t>Relevance: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Visual tool for identifying where "rigorous" evidence is concentrated or missing.</w:t>
      </w:r>
    </w:p>
    <w:p w14:paraId="7FA4481D" w14:textId="77777777" w:rsidR="00B822E7" w:rsidRPr="00105219" w:rsidRDefault="00B822E7" w:rsidP="00B822E7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 xml:space="preserve">Green, D. (2016). </w:t>
      </w:r>
      <w:r w:rsidRPr="00105219">
        <w:rPr>
          <w:rFonts w:ascii="Arial" w:eastAsia="Times New Roman" w:hAnsi="Arial" w:cs="Arial"/>
          <w:b/>
          <w:bCs/>
          <w:i/>
          <w:iCs/>
          <w:kern w:val="0"/>
          <w14:ligatures w14:val="none"/>
        </w:rPr>
        <w:t>How Change Happens</w:t>
      </w:r>
      <w:r w:rsidRPr="00105219">
        <w:rPr>
          <w:rFonts w:ascii="Arial" w:eastAsia="Times New Roman" w:hAnsi="Arial" w:cs="Arial"/>
          <w:b/>
          <w:bCs/>
          <w:kern w:val="0"/>
          <w14:ligatures w14:val="none"/>
        </w:rPr>
        <w:t>. Oxford.</w:t>
      </w:r>
    </w:p>
    <w:p w14:paraId="5C6F8887" w14:textId="77777777" w:rsidR="00B822E7" w:rsidRPr="00105219" w:rsidRDefault="00B822E7" w:rsidP="00B822E7">
      <w:pPr>
        <w:numPr>
          <w:ilvl w:val="1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105219">
        <w:rPr>
          <w:rFonts w:ascii="Arial" w:eastAsia="Times New Roman" w:hAnsi="Arial" w:cs="Arial"/>
          <w:i/>
          <w:iCs/>
          <w:kern w:val="0"/>
          <w14:ligatures w14:val="none"/>
        </w:rPr>
        <w:t>Relevance:</w:t>
      </w:r>
      <w:r w:rsidRPr="00105219">
        <w:rPr>
          <w:rFonts w:ascii="Arial" w:eastAsia="Times New Roman" w:hAnsi="Arial" w:cs="Arial"/>
          <w:kern w:val="0"/>
          <w14:ligatures w14:val="none"/>
        </w:rPr>
        <w:t xml:space="preserve"> Practical power analysis and "Windows of Opportunity".</w:t>
      </w:r>
    </w:p>
    <w:p w14:paraId="42F0A52D" w14:textId="77777777" w:rsidR="00B822E7" w:rsidRDefault="00B822E7"/>
    <w:sectPr w:rsidR="00B822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323A0"/>
    <w:multiLevelType w:val="multilevel"/>
    <w:tmpl w:val="F4BE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5271C7"/>
    <w:multiLevelType w:val="multilevel"/>
    <w:tmpl w:val="5D96E0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2179868">
    <w:abstractNumId w:val="0"/>
  </w:num>
  <w:num w:numId="2" w16cid:durableId="164366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E7"/>
    <w:rsid w:val="006B2DC2"/>
    <w:rsid w:val="00A22D49"/>
    <w:rsid w:val="00B8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0B341"/>
  <w15:chartTrackingRefBased/>
  <w15:docId w15:val="{6CAA9A47-96F0-41A7-804F-2623E70FF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2E7"/>
  </w:style>
  <w:style w:type="paragraph" w:styleId="Heading1">
    <w:name w:val="heading 1"/>
    <w:basedOn w:val="Normal"/>
    <w:next w:val="Normal"/>
    <w:link w:val="Heading1Char"/>
    <w:uiPriority w:val="9"/>
    <w:qFormat/>
    <w:rsid w:val="00B82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2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2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2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2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2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2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2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2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2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2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22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2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2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2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1779</Characters>
  <Application>Microsoft Office Word</Application>
  <DocSecurity>0</DocSecurity>
  <Lines>43</Lines>
  <Paragraphs>37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Picon</dc:creator>
  <cp:keywords/>
  <dc:description/>
  <cp:lastModifiedBy>Mario Picon</cp:lastModifiedBy>
  <cp:revision>2</cp:revision>
  <dcterms:created xsi:type="dcterms:W3CDTF">2026-04-08T12:23:00Z</dcterms:created>
  <dcterms:modified xsi:type="dcterms:W3CDTF">2026-04-08T12:25:00Z</dcterms:modified>
</cp:coreProperties>
</file>