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0BDA1" w14:textId="77777777" w:rsidR="00E06DBC" w:rsidRPr="00FF2B2F" w:rsidRDefault="00000000">
      <w:pPr>
        <w:pStyle w:val="Title"/>
        <w:jc w:val="center"/>
        <w:rPr>
          <w:color w:val="auto"/>
        </w:rPr>
      </w:pPr>
      <w:r w:rsidRPr="00FF2B2F">
        <w:rPr>
          <w:color w:val="auto"/>
        </w:rPr>
        <w:t>Annotated Bibliography</w:t>
      </w:r>
      <w:r w:rsidRPr="00FF2B2F">
        <w:rPr>
          <w:color w:val="auto"/>
        </w:rPr>
        <w:br/>
        <w:t>Governance, Complexity, Corruption, State Capture, and Coalition Building</w:t>
      </w:r>
    </w:p>
    <w:p w14:paraId="6297ADAA" w14:textId="77777777" w:rsidR="00E06DBC" w:rsidRDefault="00000000">
      <w:pPr>
        <w:pBdr>
          <w:bottom w:val="single" w:sz="8" w:space="6" w:color="D9E2F3"/>
        </w:pBdr>
        <w:jc w:val="center"/>
      </w:pPr>
      <w:r>
        <w:rPr>
          <w:i/>
        </w:rPr>
        <w:t>Organized by the major themes in the lecture. Prioritizes resources from roughly the last 10 years, while including a few older anchor texts only where they remain unusually influential.</w:t>
      </w:r>
    </w:p>
    <w:p w14:paraId="6FEE4D57" w14:textId="77777777" w:rsidR="00E06DBC" w:rsidRDefault="00000000">
      <w:r>
        <w:rPr>
          <w:b/>
        </w:rPr>
        <w:t xml:space="preserve">How to use this bibliography. </w:t>
      </w:r>
      <w:r>
        <w:t>The annotations are written for teaching and practice, not only for academic review. Each entry explains what the resource contributes, why it matters for this lecture, and how it can be used to help students diagnose systems differently or design interventions differently.</w:t>
      </w:r>
    </w:p>
    <w:p w14:paraId="2419E2BE" w14:textId="77777777" w:rsidR="00E06DBC" w:rsidRDefault="00000000">
      <w:r>
        <w:rPr>
          <w:b/>
        </w:rPr>
        <w:t xml:space="preserve">Suggested reading pathway. </w:t>
      </w:r>
      <w:r>
        <w:t>Start with Section I for the lecture’s common language, then Section II for complex-systems governance, then Section III for corruption versus capture, and finally Sections IV–V for concrete cases and actionable reform strategies.</w:t>
      </w:r>
    </w:p>
    <w:p w14:paraId="101C484D" w14:textId="77777777" w:rsidR="00E06DBC" w:rsidRPr="00FF2B2F" w:rsidRDefault="00000000">
      <w:pPr>
        <w:pStyle w:val="Heading1"/>
        <w:rPr>
          <w:color w:val="auto"/>
        </w:rPr>
      </w:pPr>
      <w:r w:rsidRPr="00FF2B2F">
        <w:rPr>
          <w:color w:val="auto"/>
        </w:rPr>
        <w:t>I. Defining Governance: From Institutions to Power, Relationships, and Collective Problem-Solving</w:t>
      </w:r>
    </w:p>
    <w:p w14:paraId="280E6B12" w14:textId="77777777" w:rsidR="00E06DBC" w:rsidRDefault="00000000">
      <w:r>
        <w:rPr>
          <w:b/>
        </w:rPr>
        <w:t xml:space="preserve">OECD Observatory of Public Sector Innovation. Systems Approaches to Public Sector Challenges: Working with Change. Paris: OECD Publishing; 2017. </w:t>
      </w:r>
      <w:r>
        <w:t>Still one of the best practical entry points for moving students away from linear governance thinking. Its core contribution is to show that public-sector problems such as obesity, unemployment, exclusion, and trust are not reducible to one agency, one lever, or one policy instrument. For this lecture, it is especially valuable because it helps establish that governance is not merely the formal machinery of government; it is the set of interacting relationships and feedbacks that shape what governments can actually do. Use it when you want students to understand why 'capacity building' is often too narrow a response to systemic problems. The most useful chapters are the early framing chapters on systems approaches and the later sections on experimentation, stewardship, and adaptive learning.</w:t>
      </w:r>
    </w:p>
    <w:p w14:paraId="4C2E54C0" w14:textId="77777777" w:rsidR="00E06DBC" w:rsidRDefault="00000000">
      <w:r>
        <w:rPr>
          <w:b/>
        </w:rPr>
        <w:t xml:space="preserve">World Bank. The Worldwide Governance Indicators: Methodology and 2024 Update. Washington, DC: World Bank; 2024. </w:t>
      </w:r>
      <w:r>
        <w:t>This is useful not because the Worldwide Governance Indicators should become the course’s definition of governance, but because it gives students a mainstream policy definition they will encounter in development practice. The report defines governance through the traditions and institutions by which authority is exercised, then operationalizes that through voice and accountability, political stability, government effectiveness, regulatory quality, rule of law, and control of corruption. In class, this source is helpful as a foil: it lets you show students what mainstream governance measurement captures well and what it misses—especially informal power, coalition dynamics, and state capture.</w:t>
      </w:r>
    </w:p>
    <w:p w14:paraId="287620F8" w14:textId="77777777" w:rsidR="00E06DBC" w:rsidRDefault="00000000">
      <w:r>
        <w:rPr>
          <w:b/>
        </w:rPr>
        <w:t xml:space="preserve">UNDP. New Ways of Governing. New York: United Nations Development Programme; 2025. </w:t>
      </w:r>
      <w:r>
        <w:t xml:space="preserve">This is one of the strongest recent bridges between democratic renewal, complexity, and institutional change. Its value lies in arguing that contemporary governance challenges require new capacities, new forms of collaboration, and new civic arrangements able to navigate complexity rather than merely administer programmes. This is closely aligned with the Governance Action Hub framing because it treats governance as a living problem of collective action, legitimacy, and power-sharing. Use it to support the lecture’s claim that governance is not a technical </w:t>
      </w:r>
      <w:r>
        <w:lastRenderedPageBreak/>
        <w:t>side topic but part of the underlying architecture that determines whether development actors can collaborate, adapt, and sustain reform.</w:t>
      </w:r>
    </w:p>
    <w:p w14:paraId="56DB8E0D" w14:textId="77777777" w:rsidR="00E06DBC" w:rsidRDefault="00000000">
      <w:r>
        <w:rPr>
          <w:b/>
        </w:rPr>
        <w:t xml:space="preserve">Muthukrishna M. The Theory of Everyone, Chapter 8 and related governance arguments. User-uploaded course excerpt; 2026 conversation file. </w:t>
      </w:r>
      <w:r>
        <w:t>Use this as a conceptual provocation rather than a primary empirical source. What makes Muthukrishna especially useful for your lecture is the insistence that institutions and governance arrangements evolve rather than simply being designed from scratch. That is highly relevant to your argument that governance systems carry path dependence, unequal access, and accumulated advantages that shape what reforms are possible. This reading works best when paired with more grounded public-sector or anti-corruption sources so students do not stay at the level of abstraction. It helps explain why durable reform is hard: because systems reproduce themselves over time unless incentives, norms, and coalitions shift.</w:t>
      </w:r>
    </w:p>
    <w:p w14:paraId="3FE57F42" w14:textId="77777777" w:rsidR="00E06DBC" w:rsidRPr="00FF2B2F" w:rsidRDefault="00000000">
      <w:pPr>
        <w:pStyle w:val="Heading1"/>
        <w:rPr>
          <w:color w:val="auto"/>
        </w:rPr>
      </w:pPr>
      <w:r w:rsidRPr="00FF2B2F">
        <w:rPr>
          <w:color w:val="auto"/>
        </w:rPr>
        <w:t>II. Governance in Complex Systems: Why Technical Fixes Fail and Why Positioning Matters</w:t>
      </w:r>
    </w:p>
    <w:p w14:paraId="624FEE73" w14:textId="77777777" w:rsidR="00E06DBC" w:rsidRDefault="00000000">
      <w:r>
        <w:rPr>
          <w:b/>
        </w:rPr>
        <w:t xml:space="preserve">OECD. Towards Anticipatory Governance Guidelines for Public Sector Organisations. Paris: OECD Publishing; 2025. </w:t>
      </w:r>
      <w:r>
        <w:t>A major strength of this report is that it goes beyond the vague slogan that governments should be 'more adaptive.' It specifies what anticipatory governance requires institutionally: foresight, coordination, handover mechanisms across political cycles, and the combination of strategic foresight with systems approaches. For your lecture, this resource helps explain why governance in complex systems cannot be equated with command-and-control. It also supports the course’s emphasis on durability, because it explicitly addresses how institutions might continue working on long-term problems despite turnover and uncertainty.</w:t>
      </w:r>
    </w:p>
    <w:p w14:paraId="2F7BAC10" w14:textId="77777777" w:rsidR="00E06DBC" w:rsidRDefault="00000000">
      <w:r>
        <w:rPr>
          <w:b/>
        </w:rPr>
        <w:t xml:space="preserve">OECD. Building Anticipatory Capacity with Strategic Foresight in Government. Paris: OECD Publishing; 2025. </w:t>
      </w:r>
      <w:r>
        <w:t>This report is especially useful for translating the lecture’s abstract claims into institutional practice. It asks what capacities governments actually need if they are serious about acting under uncertainty and complexity. Pair it with your 'strategy as positioning' concept: the report helps students see that positioning is not only an individual strategic act but also an institutional capability. The relevant chapters are those on building foresight functions, integrating foresight into decision-making, and institutionalising anticipatory practice.</w:t>
      </w:r>
    </w:p>
    <w:p w14:paraId="3684A613" w14:textId="77777777" w:rsidR="00E06DBC" w:rsidRDefault="00000000">
      <w:r>
        <w:rPr>
          <w:b/>
        </w:rPr>
        <w:t xml:space="preserve">UNDP. Strengthening Energy Governance Systems. New York: United Nations Development Programme; 2023. </w:t>
      </w:r>
      <w:r>
        <w:t>Although focused on energy, this report is broader than the sector title suggests. It is particularly strong for showing how governance problems emerge when sectors involve multiple ministries, conflicting incentives, long time horizons, and strong incumbents. For your lecture, it can help students make the jump from 'governance as an idea' to governance as the coordination challenge inside real systems. It is also useful because energy systems make visible the trade-offs among technical design, institutional fragmentation, and political resistance.</w:t>
      </w:r>
    </w:p>
    <w:p w14:paraId="19E3EC97" w14:textId="77777777" w:rsidR="00E06DBC" w:rsidRDefault="00000000">
      <w:r>
        <w:rPr>
          <w:b/>
        </w:rPr>
        <w:t xml:space="preserve">UNDP and UNU-CPR. Service Delivery in Systems of Hybrid Governance: A Framework for Development Actors in Complex Settings. New York: United Nations Development Programme; 2026. </w:t>
      </w:r>
      <w:r>
        <w:t>This is especially valuable if you want students to understand that governance often happens in spaces where the state is not the only governing actor. It provides a practical framework for working in settings of limited statehood or hybrid authority, which makes it relevant not only to fragile contexts but also to territories where local elites, companies, civic actors, or informal authorities shape outcomes. Use it to complicate the assumption that governance problems are solved simply by strengthening formal agencies.</w:t>
      </w:r>
    </w:p>
    <w:p w14:paraId="57F80D7C" w14:textId="77777777" w:rsidR="00E06DBC" w:rsidRDefault="00000000">
      <w:r>
        <w:rPr>
          <w:b/>
        </w:rPr>
        <w:t xml:space="preserve">Giest S, et al. Policy Capacity Mechanisms for Addressing Complex, Place-Based Sustainability Challenges. Paris: OECD; 2023. </w:t>
      </w:r>
      <w:r>
        <w:t>This reading is strong on place-based policy capacity and is therefore especially relevant for connecting governance to territorial development, subnational politics, and the mining discussion in Peru. It helps students understand that complex challenges are often territorial rather than purely sectoral, and that governance capacity must include the ability to coordinate across scales, tailor responses to place, and learn across jurisdictions. This is a good bridge from abstract systems thinking to concrete governance design.</w:t>
      </w:r>
    </w:p>
    <w:p w14:paraId="622A2377" w14:textId="77777777" w:rsidR="00E06DBC" w:rsidRPr="00FF2B2F" w:rsidRDefault="00000000">
      <w:pPr>
        <w:pStyle w:val="Heading1"/>
        <w:rPr>
          <w:color w:val="auto"/>
        </w:rPr>
      </w:pPr>
      <w:r w:rsidRPr="00FF2B2F">
        <w:rPr>
          <w:color w:val="auto"/>
        </w:rPr>
        <w:t>III. Corruption, Public Integrity, and State Capture: Building a Precise Common Language</w:t>
      </w:r>
    </w:p>
    <w:p w14:paraId="059F68C5" w14:textId="77777777" w:rsidR="00E06DBC" w:rsidRDefault="00000000">
      <w:r>
        <w:rPr>
          <w:b/>
        </w:rPr>
        <w:t xml:space="preserve">World Bank. Enhancing Government Effectiveness and Transparency: The Fight Against Corruption. Washington, DC: World Bank; 2020. </w:t>
      </w:r>
      <w:r>
        <w:t>This is one of the most useful recent broad overviews of anti-corruption for development practitioners. It is particularly good for moving students beyond the idea that corruption is only about bribery. The report emphasizes that corruption harms state capability, service delivery, private investment, and trust, and that anti-corruption efforts need to be embedded in broader governance reform. Use it to define corruption as abuse of entrusted power for private gain while also showing why anti-corruption cannot be detached from institutional incentives and political economy.</w:t>
      </w:r>
    </w:p>
    <w:p w14:paraId="4F830D8E" w14:textId="77777777" w:rsidR="00E06DBC" w:rsidRDefault="00000000">
      <w:r>
        <w:rPr>
          <w:b/>
        </w:rPr>
        <w:t xml:space="preserve">OECD. Anti-Corruption and Integrity Outlook 2026. Paris: OECD Publishing; 2026. </w:t>
      </w:r>
      <w:r>
        <w:t>This is currently one of the most up-to-date official syntheses of integrity risks and anti-corruption strategy. Its key contribution is that it treats corruption as a broad integrity problem that cuts across procurement, fraud, organized crime, public administration, and public service capture. For your lecture, it helps support the move from narrow anti-corruption language to a more systemic integrity lens. It is also useful for current examples and public-sector risk patterns that students may otherwise treat as abstract.</w:t>
      </w:r>
    </w:p>
    <w:p w14:paraId="71ABDF11" w14:textId="77777777" w:rsidR="00E06DBC" w:rsidRDefault="00000000">
      <w:r>
        <w:rPr>
          <w:b/>
        </w:rPr>
        <w:t xml:space="preserve">OECD. Anti-corruption and integrity topic hub. Paris: OECD; updated 2026. </w:t>
      </w:r>
      <w:r>
        <w:t>This is not a single report so much as a useful anchor source for current definitions, standards, and thematic links. It is particularly helpful if you want students to see how integrity, corruption, procurement, business conduct, and public governance connect in practice. Use it as a navigation source for students who want to go deeper into one subtopic after the lecture.</w:t>
      </w:r>
    </w:p>
    <w:p w14:paraId="69999140" w14:textId="77777777" w:rsidR="00E06DBC" w:rsidRDefault="00000000">
      <w:r>
        <w:rPr>
          <w:b/>
        </w:rPr>
        <w:t xml:space="preserve">World Bank. State Capture Analysis. Washington, DC: World Bank; 2019. </w:t>
      </w:r>
      <w:r>
        <w:t>This is one of the clearest practitioner-oriented introductions to state capture as a development problem. It is especially valuable because it frames capture not as a moral aberration but as a mechanism through which policies, institutions, and implementation arrangements are shaped to benefit narrow interests. For your lecture, this source is central to the distinction between corruption and capture: corruption often violates the rules, while capture alters who makes the rules and whose interests those rules serve.</w:t>
      </w:r>
    </w:p>
    <w:p w14:paraId="43662AAD" w14:textId="77777777" w:rsidR="00E06DBC" w:rsidRDefault="00000000">
      <w:r>
        <w:rPr>
          <w:b/>
        </w:rPr>
        <w:t xml:space="preserve">World Bank. State Capture Analysis: A How to Guide for Practitioners. Washington, DC: World Bank; 2021. </w:t>
      </w:r>
      <w:r>
        <w:t>This is a strong follow-on to the previous source because it asks the applied question your students should care about: how do we actually analyze capture in a way that informs action? The note is useful for teaching students to identify the arenas of influence, the pathways through which private or partisan interests shape public authority, and the kinds of political economy evidence needed to diagnose capture. It is particularly helpful for assignments or case labs.</w:t>
      </w:r>
    </w:p>
    <w:p w14:paraId="4180144D" w14:textId="77777777" w:rsidR="00E06DBC" w:rsidRDefault="00000000">
      <w:r>
        <w:rPr>
          <w:b/>
        </w:rPr>
        <w:t xml:space="preserve">U4 Anti-Corruption Resource Centre. Anti-corruption basics. Bergen: U4; updated 2026. </w:t>
      </w:r>
      <w:r>
        <w:t>This is a practical teaching aid because it distills anti-corruption concepts clearly without flattening them. I would not make it the anchor text for the lecture, but it is excellent as a supplementary reading for students who need a cleaner entry point before they tackle more complex materials on state capture, integrity systems, or political economy.</w:t>
      </w:r>
    </w:p>
    <w:p w14:paraId="6997A590" w14:textId="77777777" w:rsidR="00E06DBC" w:rsidRPr="00FF2B2F" w:rsidRDefault="00000000">
      <w:pPr>
        <w:pStyle w:val="Heading1"/>
        <w:rPr>
          <w:color w:val="auto"/>
        </w:rPr>
      </w:pPr>
      <w:r w:rsidRPr="00FF2B2F">
        <w:rPr>
          <w:color w:val="auto"/>
        </w:rPr>
        <w:t>IV. Country and Sector Cases: How Governance Problems and Capture Dynamics Actually Look</w:t>
      </w:r>
    </w:p>
    <w:p w14:paraId="79B76C1C" w14:textId="77777777" w:rsidR="00E06DBC" w:rsidRDefault="00000000">
      <w:r w:rsidRPr="00FF2B2F">
        <w:rPr>
          <w:b/>
          <w:lang w:val="es-ES"/>
        </w:rPr>
        <w:t xml:space="preserve">Libro Desarrollo territorial y minería. </w:t>
      </w:r>
      <w:r>
        <w:rPr>
          <w:b/>
        </w:rPr>
        <w:t xml:space="preserve">User-uploaded course file; Peru-focused volume used in class; 2026 conversation file. </w:t>
      </w:r>
      <w:r>
        <w:t>This is the anchor reading for the Peru case and one of the most important course-specific resources in the whole bibliography. Its great value is that it refuses the simplistic story that more mining revenue automatically produces development. Instead, it shows how territorial conflict, low trust, weak state presence, and fragmented incentives generate outcomes that national growth figures conceal. Several passages are especially useful for your lecture: the discussion of rising mining-related conflict in Peru, the argument that the state’s active presence as guarantor is often weak or absent, the contrast between enclave logic and territorial development, and the discussion of new roles for actors in territorial governance. Use this source when you want students to see that poor governance is not a side issue in extractive regions—it is the mechanism through which the paradox of wealth amid conflict is produced. The later sections on multi-actor roles are also useful for your follow-up session on coalition-building.</w:t>
      </w:r>
    </w:p>
    <w:p w14:paraId="0CBB7678" w14:textId="77777777" w:rsidR="00E06DBC" w:rsidRDefault="00000000">
      <w:r>
        <w:rPr>
          <w:b/>
        </w:rPr>
        <w:t xml:space="preserve">Territorial Development and Mining. User-uploaded course synthesis document; 2026 conversation file. </w:t>
      </w:r>
      <w:r>
        <w:t>This document is especially helpful pedagogically because it translates the Peru literature into a clear teaching architecture: mining as a 'development paradox,' territorial governance as a place-based and multi-actor approach, and the need to move beyond enclave economies toward aligned incentives, transparent fund management, knowledge mediation, and long-term diversification. Use it as a companion text for students who need a more direct analytic summary than the full Peru volume provides.</w:t>
      </w:r>
    </w:p>
    <w:p w14:paraId="0EBC9CA8" w14:textId="77777777" w:rsidR="00E06DBC" w:rsidRDefault="00000000">
      <w:r>
        <w:rPr>
          <w:b/>
        </w:rPr>
        <w:t xml:space="preserve">Judicial Commission of Inquiry into Allegations of State Capture, Corruption and Fraud in the Public Sector including Organs of State (Zondo Commission), selected reports. South Africa; 2022. </w:t>
      </w:r>
      <w:r>
        <w:t>This is the canonical source for the South Africa case. Its contribution is not only to document wrongdoing, but to show how state capture operated through appointments, procurement, state-owned enterprises, and the deliberate weakening of oversight institutions. For teaching purposes, it helps students grasp that capture is collaborative, networked, and institutional. Use it to illustrate that capture is not just about money changing hands; it is about remaking state capacity so that narrow interests can govern through public institutions.</w:t>
      </w:r>
    </w:p>
    <w:p w14:paraId="74D2A24F" w14:textId="77777777" w:rsidR="00E06DBC" w:rsidRDefault="00000000">
      <w:r>
        <w:rPr>
          <w:b/>
        </w:rPr>
        <w:t xml:space="preserve">Government of South Africa. State capture inquiry / state response pages, 2022–2026. </w:t>
      </w:r>
      <w:r>
        <w:t>These official materials are useful not because they replace the Commission, but because they help show the afterlife of a capture diagnosis: recommendations, implementation plans, and the political challenge of moving from exposure to institutional repair. Use them to ask students whether naming capture is enough, and what durable reform would actually require.</w:t>
      </w:r>
    </w:p>
    <w:p w14:paraId="4FA9A344" w14:textId="77777777" w:rsidR="00E06DBC" w:rsidRDefault="00000000">
      <w:r>
        <w:rPr>
          <w:b/>
        </w:rPr>
        <w:t xml:space="preserve">OECD. Review of Anti-Corruption Reforms in Ukraine under the Fifth Round of Monitoring. Paris: OECD; 2024. </w:t>
      </w:r>
      <w:r>
        <w:t>This is one of the best recent sources for the Ukraine case because it documents institutional reforms, persistent vulnerabilities, and the ongoing struggle to protect reform momentum under intense pressure. Use it to show students that anti-corruption reform is not a one-off legal event but a contest among reformers, entrenched interests, and adaptive systems.</w:t>
      </w:r>
    </w:p>
    <w:p w14:paraId="39E93734" w14:textId="77777777" w:rsidR="00E06DBC" w:rsidRDefault="00000000">
      <w:r>
        <w:rPr>
          <w:b/>
        </w:rPr>
        <w:t xml:space="preserve">OECD. OECD Integrity and Anti-Corruption Review of Ukraine. Paris: OECD Publishing; 2025. </w:t>
      </w:r>
      <w:r>
        <w:t>This is even more valuable for your lecture than the 2024 monitoring review because it is broader and more strategic. It covers anti-corruption strategy, judicial integrity, transparency in decision-making, risk management, and whistleblower protection, while also documenting progress in institutions like NABU and SAPO. Use it when you want a current example of how reform coalitions create countervailing institutions—and how those institutions still have to survive adaptive resistance.</w:t>
      </w:r>
    </w:p>
    <w:p w14:paraId="42F79504" w14:textId="77777777" w:rsidR="00E06DBC" w:rsidRDefault="00000000">
      <w:r>
        <w:rPr>
          <w:b/>
        </w:rPr>
        <w:t xml:space="preserve">OECD. OECD Investment Policy Reviews: Indonesia 2020. Paris: OECD Publishing; 2020. </w:t>
      </w:r>
      <w:r>
        <w:t>This may not be the first source one thinks of for anti-corruption teaching, but it contains useful material on Indonesia’s anti-corruption environment and the role of the KPK, including regional collaboration and integrity efforts. It is valuable for showing that anti-corruption institutions do not operate in isolation from investment climate, business conduct, and governance reform.</w:t>
      </w:r>
    </w:p>
    <w:p w14:paraId="2F1C8D1A" w14:textId="77777777" w:rsidR="00E06DBC" w:rsidRDefault="00000000">
      <w:r>
        <w:rPr>
          <w:b/>
        </w:rPr>
        <w:t xml:space="preserve">World Bank. Improving Public Sector Performance through Innovation and Inter-Agency Coordination. Washington, DC: World Bank; 2018. </w:t>
      </w:r>
      <w:r>
        <w:t>This report contains a useful Indonesia example on civil service recruitment reform, which matters for your lecture because it shows a less dramatic but important kind of governance reform: changing administrative rules to reduce discretion, patronage, and manipulation. Use it to balance the high-politics state-capture discussion with a more administrative reform example that still affects systemic incentives.</w:t>
      </w:r>
    </w:p>
    <w:p w14:paraId="755DDF55" w14:textId="77777777" w:rsidR="00E06DBC" w:rsidRPr="00FF2B2F" w:rsidRDefault="00000000">
      <w:pPr>
        <w:pStyle w:val="Heading1"/>
        <w:rPr>
          <w:color w:val="auto"/>
        </w:rPr>
      </w:pPr>
      <w:r w:rsidRPr="00FF2B2F">
        <w:rPr>
          <w:color w:val="auto"/>
        </w:rPr>
        <w:t>V. Reform Strategy, Countervailing Power, and Coalition Building Under Conditions of Resistance</w:t>
      </w:r>
    </w:p>
    <w:p w14:paraId="2D4DA542" w14:textId="77777777" w:rsidR="00E06DBC" w:rsidRDefault="00000000">
      <w:r>
        <w:rPr>
          <w:b/>
        </w:rPr>
        <w:t xml:space="preserve">World Bank. Partnerships for Anticorruption Global Forum 2025 Report. Washington, DC: World Bank; 2025. </w:t>
      </w:r>
      <w:r>
        <w:t>This is a strong resource for the lecture’s final move from diagnosis to action. Its value is the emphasis on partnerships, standards, and multi-stakeholder platforms such as the Open Government Partnership and EITI as vehicles for translating norms into collective action. Use it to support the idea that state capture cannot be tackled by heroic individuals alone; it requires coalitions across public agencies, civil society, business, and international actors.</w:t>
      </w:r>
    </w:p>
    <w:p w14:paraId="16C9A5AD" w14:textId="77777777" w:rsidR="00E06DBC" w:rsidRDefault="00000000">
      <w:r>
        <w:rPr>
          <w:b/>
        </w:rPr>
        <w:t xml:space="preserve">World Bank. Global Program on Anticorruption for Development (AC4D) program pages and partner materials; updated 2025–2026. </w:t>
      </w:r>
      <w:r>
        <w:t>These materials are useful less as stand-alone texts and more as a map of current practice. They help students see anti-corruption as a development challenge connected to justice, coalitions for reform, measurement innovation, and cross-sector partnerships. Use them for contemporary examples of how reform communities are trying to operationalize systems thinking.</w:t>
      </w:r>
    </w:p>
    <w:p w14:paraId="50E5A960" w14:textId="77777777" w:rsidR="00E06DBC" w:rsidRDefault="00000000">
      <w:r>
        <w:rPr>
          <w:b/>
        </w:rPr>
        <w:t xml:space="preserve">World Bank. The Coalitions for Reforms Global Program. Washington, DC: World Bank; updated 2025. </w:t>
      </w:r>
      <w:r>
        <w:t>This source aligns very closely with the lecture’s closing argument and the follow-up session on coalition building under capture. Its main value is that it treats reform not as a purely technical design issue but as a problem of trust, alignment, and collective action among actors who do not naturally move together. This is especially useful for your students because it links governance diagnosis directly to reform strategy.</w:t>
      </w:r>
    </w:p>
    <w:p w14:paraId="159FA550" w14:textId="77777777" w:rsidR="00E06DBC" w:rsidRDefault="00000000">
      <w:r>
        <w:rPr>
          <w:b/>
        </w:rPr>
        <w:t xml:space="preserve">Open Government Partnership. Annual Report 2024–2025. Washington, DC: OGP; 2025. </w:t>
      </w:r>
      <w:r>
        <w:t>This report is useful as a contemporary example of how open-government coalitions attempt to institutionalize transparency, participation, and anti-corruption commitments through recurring multi-stakeholder processes. For the coalition-building session, it helps students see both the promise and fragility of reform coalitions that depend on political momentum.</w:t>
      </w:r>
    </w:p>
    <w:p w14:paraId="2895B4F2" w14:textId="77777777" w:rsidR="00E06DBC" w:rsidRDefault="00000000">
      <w:r>
        <w:rPr>
          <w:b/>
        </w:rPr>
        <w:t xml:space="preserve">Open Government Partnership. Nigeria Action Plan Review 2023–2025. Washington, DC: OGP Independent Reporting Mechanism; 2024. </w:t>
      </w:r>
      <w:r>
        <w:t>This is one of the best compact examples of coalition language in action. The review notes that dedicated funding and a strong coalition of reformers distinguish certain commitments, especially on budget openness and beneficial ownership transparency. Use it as a concrete example when you want students to see what reform coalitions look like in practice beyond the lecture’s core country cases.</w:t>
      </w:r>
    </w:p>
    <w:p w14:paraId="124B7B50" w14:textId="77777777" w:rsidR="00E06DBC" w:rsidRDefault="00000000">
      <w:r>
        <w:rPr>
          <w:b/>
        </w:rPr>
        <w:t xml:space="preserve">OECD. Linking Integrity, Business Conduct and Public Procurement. Paris: OECD Publishing; 2025. </w:t>
      </w:r>
      <w:r>
        <w:t>This report is valuable because it pushes students beyond the state-versus-private-sector binary. It shows how integrity, procurement, and responsible business conduct interact, which is directly relevant to your argument that governance failures can open pathways not only for corruption but for more structured influence over public decisions. This is also a good reading for students interested in the private sector’s role in either enabling or constraining capture.</w:t>
      </w:r>
    </w:p>
    <w:p w14:paraId="74C665E7" w14:textId="77777777" w:rsidR="00E06DBC" w:rsidRDefault="00000000">
      <w:r>
        <w:rPr>
          <w:b/>
        </w:rPr>
        <w:t xml:space="preserve">OECD. Guidelines on Anti-Corruption and Integrity in State-Owned Enterprises. Paris: OECD Publishing; 2019. </w:t>
      </w:r>
      <w:r>
        <w:t>Still highly relevant and within your time window. This is particularly useful for teaching because state-owned enterprises often sit at the center of both service delivery and capture risk. Use it alongside the South Africa material to discuss how autonomy, oversight, appointment systems, and accountability design can either reduce or magnify vulnerability to capture.</w:t>
      </w:r>
    </w:p>
    <w:p w14:paraId="7A4057CF" w14:textId="77777777" w:rsidR="00E06DBC" w:rsidRPr="00FF2B2F" w:rsidRDefault="00000000">
      <w:pPr>
        <w:pStyle w:val="Heading1"/>
        <w:rPr>
          <w:color w:val="auto"/>
        </w:rPr>
      </w:pPr>
      <w:r w:rsidRPr="00FF2B2F">
        <w:rPr>
          <w:color w:val="auto"/>
        </w:rPr>
        <w:t>VI. Supplemental Resources for the Peru / Territorial Governance Thread</w:t>
      </w:r>
    </w:p>
    <w:p w14:paraId="11759B03" w14:textId="77777777" w:rsidR="00E06DBC" w:rsidRDefault="00000000">
      <w:r>
        <w:rPr>
          <w:b/>
        </w:rPr>
        <w:t xml:space="preserve">Gallegos A. How can we measure the progress of territorial development? R4D Insights. 2023. </w:t>
      </w:r>
      <w:r>
        <w:t>A concise and practical piece that helps move from diagnosis to monitoring. Useful if you want students to think about how one measures progress in territorial governance without reducing it to GDP or project completion. This is especially relevant for your own applied work and for assignments that ask students to design indicators aligned with place-based change.</w:t>
      </w:r>
    </w:p>
    <w:p w14:paraId="67C86A79" w14:textId="77777777" w:rsidR="00E06DBC" w:rsidRDefault="00000000">
      <w:r w:rsidRPr="00FF2B2F">
        <w:rPr>
          <w:b/>
          <w:lang w:val="es-ES"/>
        </w:rPr>
        <w:t xml:space="preserve">Balza L, Díaz LM, Gómez Parra N, Manzano O. La licencia no escrita: licencia social para operar en el sector extractivo de América Latina. </w:t>
      </w:r>
      <w:r>
        <w:rPr>
          <w:b/>
        </w:rPr>
        <w:t xml:space="preserve">Washington, DC: Inter-American Development Bank; 2021. </w:t>
      </w:r>
      <w:r>
        <w:t>This is important for showing that legitimacy is not merely a communications problem; it is tied to whether actors see the governance arrangement as fair, responsive, and development-oriented. Use it to help students connect local conflict to governance quality rather than to 'misinformation' alone.</w:t>
      </w:r>
    </w:p>
    <w:p w14:paraId="0EA9A07E" w14:textId="77777777" w:rsidR="00E06DBC" w:rsidRDefault="00000000">
      <w:r w:rsidRPr="00FF2B2F">
        <w:rPr>
          <w:b/>
          <w:lang w:val="es-ES"/>
        </w:rPr>
        <w:t xml:space="preserve">Manrique H, Sanborn C. La minería en el Perú: balance y perspectivas de cinco décadas de investigación. </w:t>
      </w:r>
      <w:r>
        <w:rPr>
          <w:b/>
        </w:rPr>
        <w:t xml:space="preserve">Lima: Universidad del </w:t>
      </w:r>
      <w:proofErr w:type="spellStart"/>
      <w:r>
        <w:rPr>
          <w:b/>
        </w:rPr>
        <w:t>Pacífico</w:t>
      </w:r>
      <w:proofErr w:type="spellEnd"/>
      <w:r>
        <w:rPr>
          <w:b/>
        </w:rPr>
        <w:t xml:space="preserve">; 2021. </w:t>
      </w:r>
      <w:r>
        <w:t>This is a useful bridge resource for students who want a broader overview of Peru’s mining debate beyond the specific territorial development lens. It helps situate today’s governance challenges in a longer trajectory of research and policy debate.</w:t>
      </w:r>
    </w:p>
    <w:p w14:paraId="1C7EB0E8" w14:textId="77777777" w:rsidR="00E06DBC" w:rsidRDefault="00000000">
      <w:r w:rsidRPr="00FF2B2F">
        <w:rPr>
          <w:b/>
          <w:lang w:val="es-ES"/>
        </w:rPr>
        <w:t xml:space="preserve">Ministerio de Economía y Finanzas (Peru). Lineamientos generales para la formulación y evaluación de Programas de Inversión - PROG. </w:t>
      </w:r>
      <w:r>
        <w:rPr>
          <w:b/>
        </w:rPr>
        <w:t xml:space="preserve">Lima: MEF; 2023. </w:t>
      </w:r>
      <w:r>
        <w:t>This is a more technical policy resource, but it matters if you want students to see how governance arguments can translate into public investment design. Use it to show that place-based, multi-actor governance eventually has to show up in budgeting, planning, and program design rather than remain a discursive commitment.</w:t>
      </w:r>
    </w:p>
    <w:p w14:paraId="4355716C" w14:textId="77777777" w:rsidR="00E06DBC" w:rsidRPr="00FF2B2F" w:rsidRDefault="00000000">
      <w:pPr>
        <w:pStyle w:val="Heading1"/>
        <w:rPr>
          <w:color w:val="auto"/>
        </w:rPr>
      </w:pPr>
      <w:r w:rsidRPr="00FF2B2F">
        <w:rPr>
          <w:color w:val="auto"/>
        </w:rPr>
        <w:t>VII. A Short 'If Students Read Only Five' List</w:t>
      </w:r>
    </w:p>
    <w:p w14:paraId="3FED1E77" w14:textId="77777777" w:rsidR="00E06DBC" w:rsidRDefault="00000000">
      <w:r>
        <w:rPr>
          <w:b/>
        </w:rPr>
        <w:t xml:space="preserve">1) OECD. Systems Approaches to Public Sector Challenges. 2017. </w:t>
      </w:r>
      <w:r>
        <w:t>Best overall foundation for the claim that governance problems are systemic rather than linear.</w:t>
      </w:r>
    </w:p>
    <w:p w14:paraId="06B69A18" w14:textId="77777777" w:rsidR="00E06DBC" w:rsidRDefault="00000000">
      <w:r>
        <w:rPr>
          <w:b/>
        </w:rPr>
        <w:t xml:space="preserve">2) UNDP. New Ways of Governing. 2025. </w:t>
      </w:r>
      <w:r>
        <w:t>Best recent bridge between democratic renewal, collaboration, and governing in complexity.</w:t>
      </w:r>
    </w:p>
    <w:p w14:paraId="26423C8C" w14:textId="77777777" w:rsidR="00E06DBC" w:rsidRDefault="00000000">
      <w:r>
        <w:rPr>
          <w:b/>
        </w:rPr>
        <w:t xml:space="preserve">3) World Bank. Enhancing Government Effectiveness and Transparency: The Fight Against Corruption. 2020. </w:t>
      </w:r>
      <w:r>
        <w:t>Best broad anti-corruption-for-development overview.</w:t>
      </w:r>
    </w:p>
    <w:p w14:paraId="561998AE" w14:textId="77777777" w:rsidR="00E06DBC" w:rsidRDefault="00000000">
      <w:r>
        <w:rPr>
          <w:b/>
        </w:rPr>
        <w:t xml:space="preserve">4) World Bank. State Capture Analysis; and State Capture Analysis: A How to Guide for Practitioners. 2019 and 2021. </w:t>
      </w:r>
      <w:r>
        <w:t>Best pair for the corruption-versus-capture distinction and for practical diagnosis.</w:t>
      </w:r>
    </w:p>
    <w:p w14:paraId="2F03328A" w14:textId="77777777" w:rsidR="00E06DBC" w:rsidRDefault="00000000">
      <w:r>
        <w:rPr>
          <w:b/>
        </w:rPr>
        <w:t xml:space="preserve">5) Libro Desarrollo territorial y minería + Territorial Development and Mining course synthesis. </w:t>
      </w:r>
      <w:r>
        <w:t>Best anchor for your Peru case, territorial governance, and coalition-building lens.</w:t>
      </w:r>
    </w:p>
    <w:p w14:paraId="28B69E1E" w14:textId="77777777" w:rsidR="00E06DBC" w:rsidRPr="00FF2B2F" w:rsidRDefault="00000000">
      <w:pPr>
        <w:pStyle w:val="Heading1"/>
        <w:rPr>
          <w:color w:val="auto"/>
        </w:rPr>
      </w:pPr>
      <w:r w:rsidRPr="00FF2B2F">
        <w:rPr>
          <w:color w:val="auto"/>
        </w:rPr>
        <w:t>Notes on scope and selection</w:t>
      </w:r>
    </w:p>
    <w:p w14:paraId="00DCB168" w14:textId="77777777" w:rsidR="00E06DBC" w:rsidRDefault="00000000">
      <w:r>
        <w:rPr>
          <w:b/>
        </w:rPr>
        <w:t xml:space="preserve">Time window. </w:t>
      </w:r>
      <w:r>
        <w:t>The bibliography prioritizes material from roughly 2016–2026. A few older works are kept only when they remain unusually influential or when newer resources still depend on them.</w:t>
      </w:r>
    </w:p>
    <w:p w14:paraId="2D8E815A" w14:textId="77777777" w:rsidR="00E06DBC" w:rsidRDefault="00000000">
      <w:r>
        <w:rPr>
          <w:b/>
        </w:rPr>
        <w:t xml:space="preserve">Selection logic. </w:t>
      </w:r>
      <w:r>
        <w:t>Priority was given to sources that help students do at least one of three things: define the problem clearly, diagnose systems and power more effectively, or design more durable interventions.</w:t>
      </w:r>
    </w:p>
    <w:p w14:paraId="4F0537BB" w14:textId="35BD0D40" w:rsidR="00E06DBC" w:rsidRDefault="00E06DBC"/>
    <w:sectPr w:rsidR="00E06DB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2028654">
    <w:abstractNumId w:val="8"/>
  </w:num>
  <w:num w:numId="2" w16cid:durableId="294724864">
    <w:abstractNumId w:val="6"/>
  </w:num>
  <w:num w:numId="3" w16cid:durableId="298270645">
    <w:abstractNumId w:val="5"/>
  </w:num>
  <w:num w:numId="4" w16cid:durableId="227545230">
    <w:abstractNumId w:val="4"/>
  </w:num>
  <w:num w:numId="5" w16cid:durableId="444231563">
    <w:abstractNumId w:val="7"/>
  </w:num>
  <w:num w:numId="6" w16cid:durableId="248929008">
    <w:abstractNumId w:val="3"/>
  </w:num>
  <w:num w:numId="7" w16cid:durableId="681126952">
    <w:abstractNumId w:val="2"/>
  </w:num>
  <w:num w:numId="8" w16cid:durableId="1549488949">
    <w:abstractNumId w:val="1"/>
  </w:num>
  <w:num w:numId="9" w16cid:durableId="1939488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12146"/>
    <w:rsid w:val="00AA1D8D"/>
    <w:rsid w:val="00B47730"/>
    <w:rsid w:val="00CB0664"/>
    <w:rsid w:val="00E06DBC"/>
    <w:rsid w:val="00FC693F"/>
    <w:rsid w:val="00FF2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3D7F77"/>
  <w14:defaultImageDpi w14:val="300"/>
  <w15:docId w15:val="{0BC365B2-AF8F-4769-8C3C-99E099C5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7373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3351</Words>
  <Characters>19974</Characters>
  <Application>Microsoft Office Word</Application>
  <DocSecurity>0</DocSecurity>
  <Lines>252</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Mario Picon</cp:lastModifiedBy>
  <cp:revision>2</cp:revision>
  <dcterms:created xsi:type="dcterms:W3CDTF">2013-12-23T23:15:00Z</dcterms:created>
  <dcterms:modified xsi:type="dcterms:W3CDTF">2026-04-01T02:42:00Z</dcterms:modified>
  <cp:category/>
</cp:coreProperties>
</file>